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200" w:before="380" w:line="270" w:lineRule="auto"/>
        <w:rPr>
          <w:rFonts w:ascii="Arial" w:cs="Arial" w:eastAsia="Arial" w:hAnsi="Arial"/>
          <w:sz w:val="24"/>
          <w:szCs w:val="24"/>
        </w:rPr>
      </w:pPr>
      <w:bookmarkStart w:colFirst="0" w:colLast="0" w:name="_heading=h.1rxp3y1i3l16" w:id="0"/>
      <w:bookmarkEnd w:id="0"/>
      <w:r w:rsidDel="00000000" w:rsidR="00000000" w:rsidRPr="00000000">
        <w:rPr>
          <w:rFonts w:ascii="Arial" w:cs="Arial" w:eastAsia="Arial" w:hAnsi="Arial"/>
          <w:sz w:val="24"/>
          <w:szCs w:val="24"/>
          <w:rtl w:val="0"/>
        </w:rPr>
        <w:t xml:space="preserve">AS9100 Supplier – Vendor Flow Down Requirements</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color w:val="4a4a4a"/>
          <w:sz w:val="24"/>
          <w:szCs w:val="24"/>
        </w:rPr>
      </w:pPr>
      <w:r w:rsidDel="00000000" w:rsidR="00000000" w:rsidRPr="00000000">
        <w:rPr>
          <w:rFonts w:ascii="Arial" w:cs="Arial" w:eastAsia="Arial" w:hAnsi="Arial"/>
          <w:color w:val="4a4a4a"/>
          <w:sz w:val="24"/>
          <w:szCs w:val="24"/>
          <w:rtl w:val="0"/>
        </w:rPr>
        <w:t xml:space="preserve">The supplier requirements below apply to all suppliers and Sub-Tier Suppliers to Test Coach, providing raw materials and/or manufactured components. Acceptance of a Purchase Order from Test Coach, binds the Supplier to the Terms and Conditions listed in the Purchase Order and the requirements listed in this document. The Supplier is not authorized to outsource any portion of the Purchase Order requirements unless specifically authorized by Test Coach and must flow down these requirements to any Sub-Tier Suppliers. Note that these requirements correspond with the requirements of Test Coach customers and with the requirements of AS9100.</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processes, products, and services to be provided including the identification of relevant technical data (specifications, drawings, process requirements, and work instructions);</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Refer to Test Coach Purchase Order, Drawings, Addendums, and/or Acknowledgement provided by Supplier for specific requirements.</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approval of: products and services, methods, processes and equipment, the release of products and services;</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Each shipment must be accompanied by one legible copy of a statement of conformance unless otherwise noted in the Purchase Order. A Certificate of Conformance (C of C) supplied with the shipment must provide at a minimum: Supplier name, part number, purchase order number, quantity of parts, Lot or Batch Number(s), and title and name of authorized Supplier representative. Traceability for raw materials is required and shall be retained and, if requested, provided to Test Coach</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Competence, including any required qualification of persons;</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color w:val="4a4a4a"/>
          <w:sz w:val="24"/>
          <w:szCs w:val="24"/>
        </w:rPr>
      </w:pPr>
      <w:r w:rsidDel="00000000" w:rsidR="00000000" w:rsidRPr="00000000">
        <w:rPr>
          <w:rFonts w:ascii="Arial" w:cs="Arial" w:eastAsia="Arial" w:hAnsi="Arial"/>
          <w:color w:val="4a4a4a"/>
          <w:sz w:val="24"/>
          <w:szCs w:val="24"/>
          <w:rtl w:val="0"/>
        </w:rPr>
        <w:t xml:space="preserve">Supplier will ensure that employees and people working on its behalf are competent and trained in accordance with the requirements of AS9100.</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external providers’ interactions with Test Coach,</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In addition to the other requirements recorded with this document, Suppliers shall hold all information received from Test Coach, in confidence and no third-party request for more information will be authorized unless approved, in writing, by Test Coach</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Control and monitoring of the external providers performance to be applied by Test Coach,</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Test Coach will evaluate Suppliers based on Quality and Delivery (Service if applicable). Suppliers that fail to perform in these areas may receive Corrective Actions and may be considered for probation or removal from the Test Coach Approved Supplier List.</w:t>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Verification of validation activities that the organization, or the customers, intends to perform at the external providers premises;</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Test Coach, its customers, and regulatory authorities reserve the right to perform verification and/or validation activities at the Supplier’s premises.</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Design and development control;</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When applicable, Test Coach provides Suppliers with product specifications to be used for the manufacture of Test Coach proprietary products. Suppliers must provide products that are in compliance with such specifications. Compliance with these specifications and traceability compliance must be assured and documented before shipment.</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Special requirements, critical items, or key characteristics;</w:t>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As per the requirements of AS9100, Suppliers are responsible for the validation, and periodic revalidation, of the ability to achieve planned results of the processes for production and service provision, where the resulting output cannot be verified by subsequent monitoring and measurement.</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Test, inspection, and verification (including production process verification);</w:t>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All gauges and instruments used to verify Test Coach product shall be calibrated using standards whose accuracies are NIST traceable. All provided calibration certifications shall specifically state this traceability. The supplier shall maintain a quality/inspection system that shall ensure all goods and services conform to contract requirements whether manufactured or processed by the Supplier or procured from Sub-Tier Suppliers.</w:t>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use of statistical techniques for product acceptance and related instructions for acceptance by Test Coach,</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The Supplier shall use a sampling plan for product acceptance, consistent with industry accepted standards, unless otherwise specified or agreed upon in writing by Test Coach</w:t>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need to:</w:t>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Implement a quality management system;</w:t>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When specifically requested by Test Coach in writing, Suppliers will maintain a quality system in compliance to a recognized Quality Management Systems and/or approved by Test Coach</w:t>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Use customer designated or approved external suppliers, including process sources (special processes);</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When required by Test Coach, or Test Coach customers, Suppliers will use customer specified sources.</w:t>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Notify the organization of non-conforming processes, products, or services and obtain approval for their disposition;</w:t>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Test Coach will not accept Suppliers products that do not meet Purchase Order or Specification requirements. Supplier product discovered after shipment by the Supplier to be nonconforming shall be immediately disclosed to Test Coach, upon discovery, including but not limited to; quantity shipped, date shipped, and the extent of the nonconformance. Suppliers that receive notification of nonconforming product from Test Coach shall take appropriate action to contain the nonconforming condition and prevent it from occurring again. The Supplier will be notified if formal Corrective Action is required to be submitted to Test Coach</w:t>
      </w:r>
    </w:p>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Prevent the use of counterfeit parts;</w:t>
      </w:r>
    </w:p>
    <w:p w:rsidR="00000000" w:rsidDel="00000000" w:rsidP="00000000" w:rsidRDefault="00000000" w:rsidRPr="00000000" w14:paraId="0000001F">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To prevent the purchase of counterfeit or suspect / unapproved products, and to ensure product identification and traceability (and for other reasons), Suppliers will institute controls that include the requirement of Material Certificates, Certificates of Conformity, and/or other supporting documentation as appropriate. Material and part substitutions are not allowed.</w:t>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Notify the organization of changes to processes, products or services including changes of their external providers or location of manufacturer, and obtain the organization’s approval;</w:t>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will notify Test Coach of intended or actual changes that may affect the quality of delivered goods and services. This includes: Changes to the Quality Management System, the Manufacturing Line, Facility Location, Processes or Natural Disasters. Quality data and/or approved design data to be available in the English language.</w:t>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Flow down to external providers applicable requirements including customer requirements;</w:t>
      </w:r>
    </w:p>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shall flow down to Sub-Tier Suppliers the applicable requirements as required by the Purchase Order either specifically or by reference.</w:t>
      </w:r>
    </w:p>
    <w:p w:rsidR="00000000" w:rsidDel="00000000" w:rsidP="00000000" w:rsidRDefault="00000000" w:rsidRPr="00000000" w14:paraId="00000024">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Provide test specimens for design approval, inspection/verification, investigation, or auditing;</w:t>
      </w:r>
    </w:p>
    <w:p w:rsidR="00000000" w:rsidDel="00000000" w:rsidP="00000000" w:rsidRDefault="00000000" w:rsidRPr="00000000" w14:paraId="00000025">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When Requested by Test Coach, or its customers, Suppliers will provide test specimens for inspection / verification, investigation and/or auditing purposes.</w:t>
      </w:r>
    </w:p>
    <w:p w:rsidR="00000000" w:rsidDel="00000000" w:rsidP="00000000" w:rsidRDefault="00000000" w:rsidRPr="00000000" w14:paraId="00000026">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Retain documented information, including retention periods and disposition requirements;</w:t>
      </w:r>
    </w:p>
    <w:p w:rsidR="00000000" w:rsidDel="00000000" w:rsidP="00000000" w:rsidRDefault="00000000" w:rsidRPr="00000000" w14:paraId="00000027">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Unless otherwise specified on the Purchase Order, the latest specification revision in effect at the time the lot of raw materials / parts was originally manufactured or processed shall apply. In the event a document has been superseded, the latest revision of the superseding document shall apply. All certifications, test reports, and inspection reports, as well as receiving inspection, in-process inspection, final inspection, and calibration records shall be retained for a minimum of seven years, unless otherwise specified by Test Coach  These records will be made available to Test Coach, its customers, or a regulatory agency upon request.  After seven years, all documentation must be destroyed in a method which ensures data/information is unusable.  If the business relationship between Vendor and Supplier ends prior to seven years, Test Coach must be contacted regarding final disposition.</w:t>
      </w:r>
    </w:p>
    <w:p w:rsidR="00000000" w:rsidDel="00000000" w:rsidP="00000000" w:rsidRDefault="00000000" w:rsidRPr="00000000" w14:paraId="00000028">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Prevent Foreign Object Debris</w:t>
      </w:r>
    </w:p>
    <w:p w:rsidR="00000000" w:rsidDel="00000000" w:rsidP="00000000" w:rsidRDefault="00000000" w:rsidRPr="00000000" w14:paraId="00000029">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are required to establish and maintain a Foreign Object Debris (FOD) prevention program that employs appropriate housekeeping practices to assure timely detection and removal of residue / debris generated, during operations and normal daily tasks.</w:t>
      </w:r>
    </w:p>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right of access by the organization and customers, and regulatory authorities to the applicable areas of facilities, and to applicable documented information any level of the supply chain;</w:t>
      </w:r>
    </w:p>
    <w:p w:rsidR="00000000" w:rsidDel="00000000" w:rsidP="00000000" w:rsidRDefault="00000000" w:rsidRPr="00000000" w14:paraId="0000002B">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Test Coach, and its customers reserve the right to perform an on-site inspection of the Supplier’s facility or visit the facility. Test Coach, will give reasonable notification to the Supplier prior to the on-site inspection. The on-site inspection may include surveillance of the Supplier’s facilities, procedures, production methods, processes, and the Supplier’s Quality System. The Supplier shall furnish, at no cost, the necessary data as required by applicable drawings, Purchase Order’s, Specifications, and inspection instructions to facilitate the on-site inspection.</w:t>
      </w:r>
    </w:p>
    <w:p w:rsidR="00000000" w:rsidDel="00000000" w:rsidP="00000000" w:rsidRDefault="00000000" w:rsidRPr="00000000" w14:paraId="0000002C">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Ensure that persons are aware of: their contribution to product or services conformity; their contribution to product safety; the importance of ethical behavior.</w:t>
      </w:r>
    </w:p>
    <w:p w:rsidR="00000000" w:rsidDel="00000000" w:rsidP="00000000" w:rsidRDefault="00000000" w:rsidRPr="00000000" w14:paraId="0000002D">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must be committed to the highest standards of ethics and business conduct. Suppliers must comply with the law, honor commitments, act in good faith, and be accountable. Suppliers must strive to maintain full compliance with all laws and regulations applicable to the operation of the business and customer relationships. Suppliers must not offer, promise, authorize or provide, directly or indirectly anything of value (including business gifts or courtesies) with the intent or effect of inducing anyone to engage in unfair business practices. Suppliers will avoid involvement in activities that may be perceived as a conflict-of interest. Suppliers will respect the legitimate proprietary rights and intellectual property, rights of customers and Suppliers, and take proper care to protect sensitive information, including confidential, proprietary, and personal information.</w:t>
      </w:r>
    </w:p>
    <w:p w:rsidR="00000000" w:rsidDel="00000000" w:rsidP="00000000" w:rsidRDefault="00000000" w:rsidRPr="00000000" w14:paraId="0000002E">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will support product safety by ensuring robust management of special requirements, critical items, and key characteristics. If there are concerns to product safety, Suppliers will</w:t>
        <w:br w:type="textWrapping"/>
        <w:t xml:space="preserve">communicate them to Test Coach If there is a concern at the Supplier’s premises with respect to safety during the manufacture of product, Suppliers will notify its own</w:t>
        <w:br w:type="textWrapping"/>
        <w:t xml:space="preserve">employees of the concern and whenever possible, mitigate the concern.</w:t>
      </w:r>
    </w:p>
    <w:p w:rsidR="00000000" w:rsidDel="00000000" w:rsidP="00000000" w:rsidRDefault="00000000" w:rsidRPr="00000000" w14:paraId="0000002F">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will ensure that employees and people working on its behalf are aware of: their contribution to product or service conformity, their contribution to product safety, and the importance of ethical behavior.</w:t>
      </w:r>
    </w:p>
    <w:p w:rsidR="00000000" w:rsidDel="00000000" w:rsidP="00000000" w:rsidRDefault="00000000" w:rsidRPr="00000000" w14:paraId="00000030">
      <w:pPr>
        <w:rPr/>
      </w:pPr>
      <w:r w:rsidDel="00000000" w:rsidR="00000000" w:rsidRPr="00000000">
        <w:rPr>
          <w:rtl w:val="0"/>
        </w:rPr>
        <w:t xml:space="preserve">                                   </w:t>
      </w:r>
    </w:p>
    <w:p w:rsidR="00000000" w:rsidDel="00000000" w:rsidP="00000000" w:rsidRDefault="00000000" w:rsidRPr="00000000" w14:paraId="00000031">
      <w:pPr>
        <w:rPr/>
      </w:pPr>
      <w:r w:rsidDel="00000000" w:rsidR="00000000" w:rsidRPr="00000000">
        <w:rPr>
          <w:rtl w:val="0"/>
        </w:rPr>
        <w:tab/>
        <w:tab/>
        <w:tab/>
        <w:tab/>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720" w:right="1440" w:header="432"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680"/>
        <w:tab w:val="right" w:leader="none" w:pos="936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22222"/>
        <w:sz w:val="21"/>
        <w:szCs w:val="21"/>
        <w:highlight w:val="white"/>
        <w:rtl w:val="0"/>
      </w:rPr>
      <w:t xml:space="preserve">Confidential—Do Not Distribute</w:t>
      <w:tab/>
      <w:tab/>
      <w:t xml:space="preserve">Page </w:t>
    </w:r>
    <w:r w:rsidDel="00000000" w:rsidR="00000000" w:rsidRPr="00000000">
      <w:rPr>
        <w:rFonts w:ascii="Times New Roman" w:cs="Times New Roman" w:eastAsia="Times New Roman" w:hAnsi="Times New Roman"/>
        <w:color w:val="222222"/>
        <w:sz w:val="21"/>
        <w:szCs w:val="21"/>
        <w:highlight w:val="whit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222222"/>
        <w:sz w:val="21"/>
        <w:szCs w:val="21"/>
        <w:highlight w:val="white"/>
        <w:rtl w:val="0"/>
      </w:rPr>
      <w:t xml:space="preserve"> of </w:t>
    </w:r>
    <w:r w:rsidDel="00000000" w:rsidR="00000000" w:rsidRPr="00000000">
      <w:rPr>
        <w:rFonts w:ascii="Times New Roman" w:cs="Times New Roman" w:eastAsia="Times New Roman" w:hAnsi="Times New Roman"/>
        <w:color w:val="222222"/>
        <w:sz w:val="21"/>
        <w:szCs w:val="21"/>
        <w:highlight w:val="whit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rPr/>
    </w:pPr>
    <w:r w:rsidDel="00000000" w:rsidR="00000000" w:rsidRPr="00000000">
      <w:rPr>
        <w:rtl w:val="0"/>
      </w:rPr>
    </w:r>
  </w:p>
  <w:tbl>
    <w:tblPr>
      <w:tblStyle w:val="Table1"/>
      <w:tblW w:w="9350.0" w:type="dxa"/>
      <w:jc w:val="center"/>
      <w:tblLayout w:type="fixed"/>
      <w:tblLook w:val="0400"/>
    </w:tblPr>
    <w:tblGrid>
      <w:gridCol w:w="2785"/>
      <w:gridCol w:w="2070"/>
      <w:gridCol w:w="1620"/>
      <w:gridCol w:w="2875"/>
      <w:tblGridChange w:id="0">
        <w:tblGrid>
          <w:gridCol w:w="2785"/>
          <w:gridCol w:w="2070"/>
          <w:gridCol w:w="1620"/>
          <w:gridCol w:w="2875"/>
        </w:tblGrid>
      </w:tblGridChange>
    </w:tblGrid>
    <w:tr>
      <w:trPr>
        <w:cantSplit w:val="0"/>
        <w:trHeight w:val="360" w:hRule="atLeast"/>
        <w:tblHeader w:val="1"/>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6">
          <w:pPr>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sz w:val="18"/>
              <w:szCs w:val="18"/>
            </w:rPr>
          </w:pP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38">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Supplier Quality Requirements</w:t>
          </w:r>
        </w:p>
      </w:tc>
    </w:tr>
    <w:tr>
      <w:trPr>
        <w:cantSplit w:val="0"/>
        <w:trHeight w:val="360" w:hRule="atLeast"/>
        <w:tblHeader w:val="1"/>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8"/>
              <w:szCs w:val="28"/>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8"/>
              <w:szCs w:val="28"/>
            </w:rPr>
          </w:pPr>
          <w:r w:rsidDel="00000000" w:rsidR="00000000" w:rsidRPr="00000000">
            <w:rPr>
              <w:rtl w:val="0"/>
            </w:rPr>
          </w:r>
        </w:p>
      </w:tc>
    </w:tr>
    <w:tr>
      <w:trPr>
        <w:cantSplit w:val="0"/>
        <w:trHeight w:val="315" w:hRule="atLeast"/>
        <w:tblHeader w:val="1"/>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Document #: 8.17</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Effective Date: 8/27/2026</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Prepared By: Andrew Bender</w:t>
          </w:r>
          <w:r w:rsidDel="00000000" w:rsidR="00000000" w:rsidRPr="00000000">
            <w:rPr>
              <w:rtl w:val="0"/>
            </w:rPr>
          </w:r>
        </w:p>
      </w:tc>
    </w:tr>
    <w:tr>
      <w:trPr>
        <w:cantSplit w:val="0"/>
        <w:trHeight w:val="310" w:hRule="atLeast"/>
        <w:tblHeader w:val="1"/>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Pr>
            <w:drawing>
              <wp:inline distB="114300" distT="114300" distL="114300" distR="114300">
                <wp:extent cx="1619250" cy="431800"/>
                <wp:effectExtent b="0" l="0" r="0" t="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19250" cy="431800"/>
                        </a:xfrm>
                        <a:prstGeom prst="rect"/>
                        <a:ln/>
                      </pic:spPr>
                    </pic:pic>
                  </a:graphicData>
                </a:graphic>
              </wp:inline>
            </w:drawing>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8"/>
              <w:szCs w:val="28"/>
            </w:rPr>
          </w:pPr>
          <w:r w:rsidDel="00000000" w:rsidR="00000000" w:rsidRPr="00000000">
            <w:rPr>
              <w:rtl w:val="0"/>
            </w:rPr>
          </w:r>
        </w:p>
      </w:tc>
    </w:tr>
    <w:tr>
      <w:trPr>
        <w:cantSplit w:val="0"/>
        <w:trHeight w:val="270" w:hRule="atLeast"/>
        <w:tblHeader w:val="1"/>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Revision #: Original</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Supersedes: NEW</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Approved By: Denis Orrochano</w:t>
          </w:r>
          <w:r w:rsidDel="00000000" w:rsidR="00000000" w:rsidRPr="00000000">
            <w:rPr>
              <w:rtl w:val="0"/>
            </w:rPr>
          </w:r>
        </w:p>
      </w:tc>
    </w:tr>
    <w:tr>
      <w:trPr>
        <w:cantSplit w:val="0"/>
        <w:trHeight w:val="270" w:hRule="atLeast"/>
        <w:tblHeader w:val="1"/>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15.0" w:type="dxa"/>
        <w:bottom w:w="15.0" w:type="dxa"/>
        <w:right w:w="115.0" w:type="dxa"/>
      </w:tblCellMar>
    </w:tblPr>
  </w:style>
  <w:style w:type="table" w:styleId="Table1">
    <w:basedOn w:val="TableNormal"/>
    <w:tblPr>
      <w:tblStyleRowBandSize w:val="1"/>
      <w:tblStyleColBandSize w:val="1"/>
      <w:tblCellMar>
        <w:top w:w="15.0" w:type="dxa"/>
        <w:left w:w="115.0" w:type="dxa"/>
        <w:bottom w:w="15.0" w:type="dxa"/>
        <w:right w:w="115.0" w:type="dxa"/>
      </w:tblCellMar>
    </w:tblPr>
  </w:style>
  <w:style w:type="table" w:styleId="Table1">
    <w:basedOn w:val="TableNormal"/>
    <w:tblPr>
      <w:tblStyleRowBandSize w:val="1"/>
      <w:tblStyleColBandSize w:val="1"/>
      <w:tblCellMar>
        <w:top w:w="15.0" w:type="dxa"/>
        <w:left w:w="115.0" w:type="dxa"/>
        <w:bottom w:w="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15.0" w:type="dxa"/>
        <w:bottom w:w="15.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0W9waZqerh1IkYH7RSw7smkoiA==">CgMxLjAyDmguMXJ4cDN5MWkzbDE2OAByITFReDFrbUIydWFETkxrOWlhbkRMWGlqTnJoNHBJUW1kZQ==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